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1A" w:rsidRDefault="00C65E9E" w:rsidP="00355814">
      <w:pPr>
        <w:tabs>
          <w:tab w:val="left" w:pos="142"/>
        </w:tabs>
        <w:spacing w:before="94" w:after="0" w:line="240" w:lineRule="auto"/>
        <w:ind w:left="28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65E9E">
        <w:rPr>
          <w:rFonts w:ascii="Arial" w:hAnsi="Arial"/>
          <w:b/>
          <w:i/>
          <w:lang w:eastAsia="en-US" w:bidi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65E9E" w:rsidRPr="006268B6" w:rsidRDefault="00C65E9E" w:rsidP="00901244">
      <w:pPr>
        <w:tabs>
          <w:tab w:val="left" w:pos="142"/>
        </w:tabs>
        <w:spacing w:before="94" w:after="0" w:line="240" w:lineRule="auto"/>
        <w:ind w:left="100"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68B6" w:rsidRDefault="006268B6" w:rsidP="00BE68F7">
      <w:pPr>
        <w:spacing w:after="0" w:line="240" w:lineRule="auto"/>
        <w:ind w:left="851" w:right="-2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sz w:val="32"/>
        </w:rPr>
        <w:t>BALÍČEK NÁSTROJŮ PRO HODNOCENÍ RIZIKA</w:t>
      </w:r>
    </w:p>
    <w:p w:rsidR="006268B6" w:rsidRPr="00B73C00" w:rsidRDefault="006268B6" w:rsidP="00B73C00">
      <w:pPr>
        <w:spacing w:before="2" w:after="0" w:line="225" w:lineRule="exact"/>
        <w:ind w:left="131" w:right="-70" w:firstLine="720"/>
        <w:rPr>
          <w:rFonts w:ascii="Arial" w:hAnsi="Arial"/>
          <w:b/>
          <w:position w:val="-1"/>
          <w:sz w:val="20"/>
          <w:u w:val="single" w:color="000000"/>
        </w:rPr>
      </w:pPr>
      <w:r w:rsidRPr="00B73C00">
        <w:rPr>
          <w:rFonts w:ascii="Arial" w:hAnsi="Arial"/>
          <w:b/>
          <w:position w:val="-1"/>
          <w:sz w:val="20"/>
          <w:u w:val="single" w:color="000000"/>
        </w:rPr>
        <w:t xml:space="preserve">Rizikové a ochranné faktory </w:t>
      </w:r>
      <w:r w:rsidR="00BE68F7" w:rsidRPr="00B73C00">
        <w:rPr>
          <w:rFonts w:ascii="Arial" w:hAnsi="Arial"/>
          <w:b/>
          <w:position w:val="-1"/>
          <w:sz w:val="20"/>
          <w:u w:val="single" w:color="000000"/>
        </w:rPr>
        <w:t>starších dětí a mládeže.</w:t>
      </w:r>
    </w:p>
    <w:p w:rsidR="006268B6" w:rsidRDefault="006268B6" w:rsidP="006268B6">
      <w:pPr>
        <w:spacing w:before="2" w:after="0" w:line="225" w:lineRule="exact"/>
        <w:ind w:right="-70"/>
        <w:rPr>
          <w:rFonts w:ascii="Arial" w:hAnsi="Arial"/>
          <w:position w:val="-1"/>
          <w:sz w:val="20"/>
          <w:u w:val="single" w:color="000000"/>
        </w:rPr>
      </w:pPr>
    </w:p>
    <w:p w:rsidR="00432334" w:rsidRPr="00B91FC7" w:rsidRDefault="00432334" w:rsidP="00432334">
      <w:pPr>
        <w:spacing w:before="2" w:after="0" w:line="225" w:lineRule="exact"/>
        <w:ind w:right="-70"/>
        <w:rPr>
          <w:rFonts w:ascii="Arial" w:hAnsi="Arial"/>
          <w:b/>
          <w:position w:val="-1"/>
          <w:sz w:val="20"/>
        </w:rPr>
      </w:pPr>
      <w:r w:rsidRPr="00B91FC7">
        <w:rPr>
          <w:rFonts w:ascii="Arial" w:hAnsi="Arial"/>
          <w:b/>
          <w:position w:val="-1"/>
          <w:sz w:val="20"/>
        </w:rPr>
        <w:t xml:space="preserve">Při vyhodnocování, analýze zjištěných potřeb a nastavování individuálního plánu ochrany a podpory vždy </w:t>
      </w:r>
      <w:r>
        <w:rPr>
          <w:rFonts w:ascii="Arial" w:hAnsi="Arial"/>
          <w:b/>
          <w:position w:val="-1"/>
          <w:sz w:val="20"/>
        </w:rPr>
        <w:t>berte na zřetel možné ochranné</w:t>
      </w:r>
      <w:r w:rsidRPr="00B91FC7">
        <w:rPr>
          <w:rFonts w:ascii="Arial" w:hAnsi="Arial"/>
          <w:b/>
          <w:position w:val="-1"/>
          <w:sz w:val="20"/>
        </w:rPr>
        <w:t xml:space="preserve"> </w:t>
      </w:r>
      <w:r>
        <w:rPr>
          <w:rFonts w:ascii="Arial" w:hAnsi="Arial"/>
          <w:b/>
          <w:position w:val="-1"/>
          <w:sz w:val="20"/>
        </w:rPr>
        <w:t xml:space="preserve">a rizikové </w:t>
      </w:r>
      <w:r w:rsidRPr="00B91FC7">
        <w:rPr>
          <w:rFonts w:ascii="Arial" w:hAnsi="Arial"/>
          <w:b/>
          <w:position w:val="-1"/>
          <w:sz w:val="20"/>
        </w:rPr>
        <w:t xml:space="preserve">faktory v situaci kolem dítěte. </w:t>
      </w:r>
    </w:p>
    <w:p w:rsidR="00432334" w:rsidRPr="00B91FC7" w:rsidRDefault="00432334" w:rsidP="00432334">
      <w:pPr>
        <w:spacing w:before="20" w:after="0" w:line="22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Následující </w:t>
      </w:r>
      <w:r w:rsidRPr="00B91FC7">
        <w:rPr>
          <w:rFonts w:ascii="Arial" w:hAnsi="Arial"/>
          <w:b/>
          <w:sz w:val="20"/>
        </w:rPr>
        <w:t xml:space="preserve">ochranné </w:t>
      </w:r>
      <w:r>
        <w:rPr>
          <w:rFonts w:ascii="Arial" w:hAnsi="Arial"/>
          <w:b/>
          <w:sz w:val="20"/>
        </w:rPr>
        <w:t xml:space="preserve">a rizikové </w:t>
      </w:r>
      <w:r w:rsidRPr="00B91FC7">
        <w:rPr>
          <w:rFonts w:ascii="Arial" w:hAnsi="Arial"/>
          <w:b/>
          <w:sz w:val="20"/>
        </w:rPr>
        <w:t>faktory jsou založeny na výzkumu a na závěrech přezkoumání závažných případů v</w:t>
      </w:r>
      <w:r>
        <w:rPr>
          <w:rFonts w:ascii="Arial" w:hAnsi="Arial"/>
          <w:b/>
          <w:sz w:val="20"/>
        </w:rPr>
        <w:t> </w:t>
      </w:r>
      <w:r w:rsidRPr="00B91FC7">
        <w:rPr>
          <w:rFonts w:ascii="Arial" w:hAnsi="Arial"/>
          <w:b/>
          <w:sz w:val="20"/>
        </w:rPr>
        <w:t>zahraničí</w:t>
      </w:r>
      <w:r>
        <w:rPr>
          <w:rFonts w:ascii="Arial" w:hAnsi="Arial"/>
          <w:b/>
          <w:sz w:val="20"/>
        </w:rPr>
        <w:t xml:space="preserve"> a jsou jedním z vodítek při vyhodnocování rizik.</w:t>
      </w:r>
    </w:p>
    <w:p w:rsidR="00432334" w:rsidRPr="00B91FC7" w:rsidRDefault="00432334" w:rsidP="00432334">
      <w:pPr>
        <w:spacing w:before="20" w:after="0" w:line="22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Zkušenost ukazuje, že přítomnost rizikových faktorů a absence ochranných faktorů v rodině, má negativní dopad na budoucí život dítěte v dospělosti. </w:t>
      </w:r>
    </w:p>
    <w:p w:rsidR="00432334" w:rsidRPr="00B91FC7" w:rsidRDefault="00432334" w:rsidP="00432334">
      <w:pPr>
        <w:spacing w:before="20" w:after="0" w:line="220" w:lineRule="exact"/>
        <w:rPr>
          <w:b/>
        </w:rPr>
      </w:pPr>
      <w:r w:rsidRPr="00B91FC7">
        <w:rPr>
          <w:rFonts w:ascii="Arial" w:hAnsi="Arial"/>
          <w:b/>
          <w:sz w:val="20"/>
        </w:rPr>
        <w:t>Během dospívání, je vliv vrstevníků a širší komunity na vývoj dítěte stále větší, a to jak ve smyslu pozitivním, tak negativním.</w:t>
      </w:r>
    </w:p>
    <w:p w:rsidR="006268B6" w:rsidRPr="00B91FC7" w:rsidRDefault="006268B6">
      <w:pPr>
        <w:spacing w:before="20" w:after="0" w:line="220" w:lineRule="exact"/>
        <w:rPr>
          <w:b/>
        </w:rPr>
      </w:pPr>
      <w:r w:rsidRPr="00B91FC7">
        <w:rPr>
          <w:b/>
          <w:noProof/>
          <w:lang w:bidi="ar-SA"/>
        </w:rPr>
        <w:drawing>
          <wp:inline distT="0" distB="0" distL="0" distR="0" wp14:anchorId="539EA6A0" wp14:editId="086B2D5C">
            <wp:extent cx="5733334" cy="4771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úhelník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4" cy="4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8B6" w:rsidRDefault="006268B6">
      <w:pPr>
        <w:spacing w:before="20" w:after="0" w:line="220" w:lineRule="exact"/>
      </w:pPr>
    </w:p>
    <w:p w:rsidR="008F7E62" w:rsidRDefault="008F7E62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8F7E62" w:rsidRDefault="00136ED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bidi="ar-SA"/>
        </w:rPr>
        <w:drawing>
          <wp:inline distT="0" distB="0" distL="0" distR="0">
            <wp:extent cx="7079766" cy="5505450"/>
            <wp:effectExtent l="0" t="0" r="6985" b="0"/>
            <wp:docPr id="4" name="Picture 4" descr="C:\Users\Jindra\LUMOS\Hodnocení a genogram\Core\Trojúhelník\Rizika mláde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dra\LUMOS\Hodnocení a genogram\Core\Trojúhelník\Rizika mláde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766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62" w:rsidRDefault="008F7E62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355814" w:rsidRDefault="00355814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355814" w:rsidRDefault="00355814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355814" w:rsidRDefault="00355814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355814" w:rsidRDefault="00355814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355814" w:rsidRDefault="00355814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355814" w:rsidRDefault="00355814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355814" w:rsidRDefault="00355814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355814" w:rsidRDefault="00355814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355814" w:rsidRDefault="00355814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355814" w:rsidRDefault="00355814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355814" w:rsidRDefault="00355814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355814" w:rsidRDefault="00355814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355814" w:rsidRDefault="00355814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355814" w:rsidRDefault="00355814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355814" w:rsidRDefault="00355814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355814" w:rsidRDefault="00355814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  <w:bookmarkStart w:id="0" w:name="_GoBack"/>
      <w:bookmarkEnd w:id="0"/>
    </w:p>
    <w:p w:rsidR="00136ED3" w:rsidRDefault="00136ED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bidi="ar-SA"/>
        </w:rPr>
        <w:drawing>
          <wp:inline distT="0" distB="0" distL="0" distR="0">
            <wp:extent cx="6972300" cy="5220051"/>
            <wp:effectExtent l="0" t="0" r="0" b="0"/>
            <wp:docPr id="7" name="Picture 7" descr="C:\Users\Jindra\LUMOS\Hodnocení a genogram\Core\Trojúhelník\Ochrané faktory mláde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dra\LUMOS\Hodnocení a genogram\Core\Trojúhelník\Ochrané faktory mláde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22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D3" w:rsidRDefault="00136ED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78711A" w:rsidRDefault="00116E89" w:rsidP="004D0969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Zdroj: </w:t>
      </w:r>
      <w:proofErr w:type="spellStart"/>
      <w:r>
        <w:rPr>
          <w:rFonts w:ascii="Arial" w:hAnsi="Arial"/>
          <w:sz w:val="20"/>
        </w:rPr>
        <w:t>Lancashire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Safeguarding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Children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</w:t>
      </w:r>
      <w:r w:rsidR="004D0969">
        <w:rPr>
          <w:rFonts w:ascii="Arial" w:hAnsi="Arial"/>
          <w:sz w:val="20"/>
        </w:rPr>
        <w:t>oard</w:t>
      </w:r>
      <w:proofErr w:type="spellEnd"/>
    </w:p>
    <w:sectPr w:rsidR="0078711A" w:rsidSect="00355814">
      <w:pgSz w:w="11920" w:h="16840"/>
      <w:pgMar w:top="940" w:right="154" w:bottom="620" w:left="426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1A"/>
    <w:rsid w:val="00053F10"/>
    <w:rsid w:val="00116E89"/>
    <w:rsid w:val="00136ED3"/>
    <w:rsid w:val="002B6936"/>
    <w:rsid w:val="00355814"/>
    <w:rsid w:val="00432334"/>
    <w:rsid w:val="00453418"/>
    <w:rsid w:val="004D0969"/>
    <w:rsid w:val="005B43ED"/>
    <w:rsid w:val="006268B6"/>
    <w:rsid w:val="00643FC9"/>
    <w:rsid w:val="0078711A"/>
    <w:rsid w:val="008B76ED"/>
    <w:rsid w:val="008C263C"/>
    <w:rsid w:val="008F7E62"/>
    <w:rsid w:val="00901244"/>
    <w:rsid w:val="00B279C4"/>
    <w:rsid w:val="00B73C00"/>
    <w:rsid w:val="00B91FC7"/>
    <w:rsid w:val="00BE3ED9"/>
    <w:rsid w:val="00BE68F7"/>
    <w:rsid w:val="00C65E9E"/>
    <w:rsid w:val="00E71227"/>
    <w:rsid w:val="00E87747"/>
    <w:rsid w:val="00F00C4E"/>
    <w:rsid w:val="00F9377E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118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smackeral001</dc:creator>
  <cp:lastModifiedBy>kk</cp:lastModifiedBy>
  <cp:revision>8</cp:revision>
  <cp:lastPrinted>2013-04-23T07:39:00Z</cp:lastPrinted>
  <dcterms:created xsi:type="dcterms:W3CDTF">2012-07-27T07:26:00Z</dcterms:created>
  <dcterms:modified xsi:type="dcterms:W3CDTF">2013-04-23T08:08:00Z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LastSaved">
    <vt:filetime>2012-06-21T00:00:00Z</vt:filetime>
  </property>
</Properties>
</file>